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slovdokumenta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KAKOVOST IN VARNOST V LEKARNI ŠALARA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V III. poglavju </w:t>
      </w:r>
      <w:r>
        <w:rPr>
          <w:b/>
        </w:rPr>
        <w:t xml:space="preserve">Zakona o lekarniški dejavnosti (Uradni list RS, št. 85/2016, 77/2017, 73/2019) </w:t>
      </w:r>
      <w:r>
        <w:rPr/>
        <w:t>je opredeljeno področje kakovosti in varnosti v lekarniški dejavnosti.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V Lekarni Šalara v skladu z veljavno zakonodajo vzdržujemo in spremljamo sistem kakovosti, ki vključuje organizacijsko strukturo, postopke, procese in vire, potrebne za izvajanje lekarniške dejavnosti v skladu s standardi lekarniške dejavnosti in pravili dobre lekarniške prakse. Politiko kakovosti uporabljamo kot način vodenja v smeri nenehnega izboljševanja delovanja lekarne.</w:t>
        <w:b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Cilji politike kakovosti: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  <w:t>nenehno izboljševanje naših storitev za uspešno zadovoljevanje zahtev uporabnikov storitev in stremljenje k preseganju njihovih pričakovanj,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  <w:t>rast in razvoj lekarne,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  <w:t>izboljševanje komunikacijskih orodij in aktivnosti za zagotavljanje kakovostnega informiranja zaposlenih in uporabnikov lekarniških storitev,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  <w:t>nenehno usposabljanje in motiviranje zaposlenih ter povečevanje njihovega zadovoljstva,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  <w:t>stalno posodabljanje opreme in procesov ter upoštevanje zakonskih zahtev,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Arial" w:hAnsi="Arial"/>
        </w:rPr>
      </w:pPr>
      <w:r>
        <w:rPr>
          <w:rFonts w:ascii="Arial" w:hAnsi="Arial"/>
        </w:rPr>
        <w:t>skrb za zdravo in varno delo zaposlenih,</w:t>
      </w:r>
    </w:p>
    <w:p>
      <w:pPr>
        <w:pStyle w:val="NoSpacing"/>
        <w:numPr>
          <w:ilvl w:val="0"/>
          <w:numId w:val="5"/>
        </w:numPr>
        <w:rPr/>
      </w:pPr>
      <w:r>
        <w:rPr/>
        <w:t>skrb za okolje</w:t>
      </w:r>
    </w:p>
    <w:p>
      <w:pPr>
        <w:pStyle w:val="NoSpacing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Naloge za izboljševanje kakovosti in varnosti našega dela: </w:t>
      </w:r>
    </w:p>
    <w:p>
      <w:pPr>
        <w:pStyle w:val="NoSpacing"/>
        <w:numPr>
          <w:ilvl w:val="0"/>
          <w:numId w:val="1"/>
        </w:numPr>
        <w:rPr/>
      </w:pPr>
      <w:r>
        <w:rPr/>
        <w:t>določamo programe izobraževanja in načrte za izboljševanje kakovosti in varnosti,</w:t>
      </w:r>
    </w:p>
    <w:p>
      <w:pPr>
        <w:pStyle w:val="NoSpacing"/>
        <w:numPr>
          <w:ilvl w:val="0"/>
          <w:numId w:val="1"/>
        </w:numPr>
        <w:rPr/>
      </w:pPr>
      <w:r>
        <w:rPr/>
        <w:t>izdelana imamo navodila za delo in varnostne protokole za posamezne storitve,</w:t>
      </w:r>
    </w:p>
    <w:p>
      <w:pPr>
        <w:pStyle w:val="NoSpacing"/>
        <w:numPr>
          <w:ilvl w:val="0"/>
          <w:numId w:val="1"/>
        </w:numPr>
        <w:rPr/>
      </w:pPr>
      <w:r>
        <w:rPr/>
        <w:t>redno izvajamo notranjo presojo dobre prakse,</w:t>
      </w:r>
    </w:p>
    <w:p>
      <w:pPr>
        <w:pStyle w:val="NoSpacing"/>
        <w:numPr>
          <w:ilvl w:val="0"/>
          <w:numId w:val="1"/>
        </w:numPr>
        <w:rPr/>
      </w:pPr>
      <w:r>
        <w:rPr/>
        <w:t>spremljamo kazalnike kakovosti,</w:t>
      </w:r>
    </w:p>
    <w:p>
      <w:pPr>
        <w:pStyle w:val="NoSpacing"/>
        <w:numPr>
          <w:ilvl w:val="0"/>
          <w:numId w:val="1"/>
        </w:numPr>
        <w:rPr/>
      </w:pPr>
      <w:r>
        <w:rPr/>
        <w:t>vzpostavljen imamo sistem za obvladovanje tveganj,</w:t>
      </w:r>
    </w:p>
    <w:p>
      <w:pPr>
        <w:pStyle w:val="NoSpacing"/>
        <w:numPr>
          <w:ilvl w:val="0"/>
          <w:numId w:val="1"/>
        </w:numPr>
        <w:rPr/>
      </w:pPr>
      <w:r>
        <w:rPr/>
        <w:t>anonimizirano spremljamo in analiziramo opozorilne nevarne dogodke in napake pri izvajanju lekarniške dejavnosti.</w:t>
      </w:r>
    </w:p>
    <w:p>
      <w:pPr>
        <w:pStyle w:val="NoSpacing"/>
        <w:rPr>
          <w:lang w:eastAsia="sl-SI"/>
        </w:rPr>
      </w:pPr>
      <w:r>
        <w:rPr>
          <w:lang w:eastAsia="sl-SI"/>
        </w:rPr>
      </w:r>
    </w:p>
    <w:p>
      <w:pPr>
        <w:pStyle w:val="Normal"/>
        <w:rPr>
          <w:b/>
          <w:b/>
          <w:sz w:val="24"/>
          <w:szCs w:val="24"/>
          <w:lang w:eastAsia="sl-SI"/>
        </w:rPr>
      </w:pPr>
      <w:r>
        <w:rPr>
          <w:b/>
          <w:sz w:val="24"/>
          <w:szCs w:val="24"/>
          <w:lang w:eastAsia="sl-SI"/>
        </w:rPr>
        <w:t xml:space="preserve">Kakovost in varnost v lekarni zagotavljamo: </w:t>
      </w:r>
    </w:p>
    <w:p>
      <w:pPr>
        <w:pStyle w:val="NoSpacing"/>
        <w:numPr>
          <w:ilvl w:val="0"/>
          <w:numId w:val="3"/>
        </w:numPr>
        <w:rPr>
          <w:lang w:eastAsia="sl-SI"/>
        </w:rPr>
      </w:pPr>
      <w:r>
        <w:rPr>
          <w:lang w:eastAsia="sl-SI"/>
        </w:rPr>
        <w:t>z izvedbo rednih notranjih strokovnih nadzorov, posodabljanjem SOP in navodil za delo,</w:t>
      </w:r>
    </w:p>
    <w:p>
      <w:pPr>
        <w:pStyle w:val="NoSpacing"/>
        <w:numPr>
          <w:ilvl w:val="0"/>
          <w:numId w:val="2"/>
        </w:numPr>
        <w:rPr>
          <w:lang w:eastAsia="sl-SI"/>
        </w:rPr>
      </w:pPr>
      <w:r>
        <w:rPr>
          <w:lang w:eastAsia="sl-SI"/>
        </w:rPr>
        <w:t>s spremljanjem odpoklicev zdravil, prehranskih dopolnil, medicinskih pripomočkov ali živil za posebne zdravstvene namene in vodenjem zahtevanih evidenc,</w:t>
      </w:r>
    </w:p>
    <w:p>
      <w:pPr>
        <w:pStyle w:val="NoSpacing"/>
        <w:numPr>
          <w:ilvl w:val="0"/>
          <w:numId w:val="2"/>
        </w:numPr>
        <w:rPr>
          <w:lang w:eastAsia="sl-SI"/>
        </w:rPr>
      </w:pPr>
      <w:r>
        <w:rPr>
          <w:lang w:eastAsia="sl-SI"/>
        </w:rPr>
        <w:t>z izvedbo aktivnosti v zvezi z ravnanjem z odpadki,</w:t>
      </w:r>
    </w:p>
    <w:p>
      <w:pPr>
        <w:pStyle w:val="NoSpacing"/>
        <w:numPr>
          <w:ilvl w:val="0"/>
          <w:numId w:val="2"/>
        </w:numPr>
        <w:rPr>
          <w:lang w:eastAsia="sl-SI"/>
        </w:rPr>
      </w:pPr>
      <w:r>
        <w:rPr>
          <w:lang w:eastAsia="sl-SI"/>
        </w:rPr>
        <w:t>z nadzorom nad merilno in delovno opremo, </w:t>
      </w:r>
    </w:p>
    <w:p>
      <w:pPr>
        <w:pStyle w:val="NoSpacing"/>
        <w:numPr>
          <w:ilvl w:val="0"/>
          <w:numId w:val="2"/>
        </w:numPr>
        <w:rPr>
          <w:lang w:eastAsia="sl-SI"/>
        </w:rPr>
      </w:pPr>
      <w:r>
        <w:rPr>
          <w:lang w:eastAsia="sl-SI"/>
        </w:rPr>
        <w:t xml:space="preserve">z rednimi validacijami aparatur in opreme v lekarni, </w:t>
      </w:r>
    </w:p>
    <w:p>
      <w:pPr>
        <w:pStyle w:val="NoSpacing"/>
        <w:numPr>
          <w:ilvl w:val="0"/>
          <w:numId w:val="2"/>
        </w:numPr>
        <w:rPr>
          <w:lang w:eastAsia="sl-SI"/>
        </w:rPr>
      </w:pPr>
      <w:r>
        <w:rPr>
          <w:lang w:eastAsia="sl-SI"/>
        </w:rPr>
        <w:t>z rednimi pregledi dokumentacije delovne in merilne opreme, </w:t>
      </w:r>
    </w:p>
    <w:p>
      <w:pPr>
        <w:pStyle w:val="NoSpacing"/>
        <w:numPr>
          <w:ilvl w:val="0"/>
          <w:numId w:val="2"/>
        </w:numPr>
        <w:rPr>
          <w:lang w:eastAsia="sl-SI"/>
        </w:rPr>
      </w:pPr>
      <w:r>
        <w:rPr>
          <w:lang w:eastAsia="sl-SI"/>
        </w:rPr>
        <w:t>s spremljanjem kazalnikov kakovosti.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Kazalniki kakovosti za leto 202</w:t>
      </w:r>
      <w:r>
        <w:rPr>
          <w:b/>
          <w:sz w:val="28"/>
          <w:szCs w:val="28"/>
          <w:u w:val="single"/>
        </w:rPr>
        <w:t>4</w:t>
      </w:r>
    </w:p>
    <w:p>
      <w:pPr>
        <w:pStyle w:val="NoSpacing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Spacing"/>
        <w:rPr/>
      </w:pPr>
      <w:r>
        <w:rPr/>
      </w:r>
    </w:p>
    <w:tbl>
      <w:tblPr>
        <w:tblStyle w:val="Tabela-mre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5"/>
        <w:gridCol w:w="7291"/>
        <w:gridCol w:w="1072"/>
      </w:tblGrid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  <w:t>Zap.št.</w:t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  <w:t>Kazalnik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  <w:t>Rezultat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sl-SI" w:eastAsia="en-US" w:bidi="ar-SA"/>
              </w:rPr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</w:t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Delež vseh farmacevtskih intervencij glede na število receptov (%)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0,0</w:t>
            </w: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6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2</w:t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Delež strokovnih farmacevtskih intervencij glede na vse farmacevtske intervencije (%)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84,13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3</w:t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Delež strokovnih kritičnih farmacevtskih intervencij glede na vse farmacevtske intervencije (%)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4,76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4</w:t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Delež strokovnih kritičnih farmacevtskih intervencij glede na vse strokovne farmacevtske intervencije (%)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5,66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5</w:t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Delež rešenih strokovnih kritičnih farmacevtskih intervencij glede na strokovne kritične farmacevtske intervencije (%)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100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6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Število napak pri izdaji zdravil na 10000 receptov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1,76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7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Število opozorilnih nevarnih dogodkov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0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8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 xml:space="preserve">Število vseh receptov glede na število vseh zaposlenih magistrov  farmacije 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18</w:t>
            </w: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.6</w:t>
            </w: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11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9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Število vseh receptov glede na število priznanih magistrov farmacije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22.</w:t>
            </w: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596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10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Število vseh receptov glede na število vseh zaposlenih magistrov farmacije glede na standarde in normative LZS (13.000 Rp/mag.farm)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1,</w:t>
            </w: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43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11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Število magistrov farmacije s kompetenco za PUZ glede na število vseh zaposlenih magistrov farmacije (%)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18,18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12</w:t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Število magistrov farmacije s kompetenco za FTP glede na število vseh magistrov farmacije (%)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/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13</w:t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Število izdelanih OKZ glede na število zaposlenih magistrov farmacije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/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14</w:t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Število opravljenih storitev PUZ na magistra farmacije s kompetenco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bidi w:val="0"/>
              <w:spacing w:lineRule="auto" w:line="240" w:before="0" w:after="0"/>
              <w:rPr>
                <w:rFonts w:ascii="Arial" w:hAnsi="Arial"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15</w:t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Nezgode pri delu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0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16</w:t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 xml:space="preserve">Število prijav domnevnih neželenih učinkov zdravil glede na število vseh farmacevtskih strokovnih delavcev 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0,73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17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Delež obnovljivih receptov glede na število vseh receptov (%)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19,50</w:t>
            </w:r>
          </w:p>
        </w:tc>
      </w:tr>
      <w:tr>
        <w:trPr/>
        <w:tc>
          <w:tcPr>
            <w:tcW w:w="925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18</w:t>
            </w:r>
          </w:p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r>
          </w:p>
        </w:tc>
        <w:tc>
          <w:tcPr>
            <w:tcW w:w="7291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Delež magistralnih zdravil glede na število vseh receptov (%)</w:t>
            </w:r>
          </w:p>
        </w:tc>
        <w:tc>
          <w:tcPr>
            <w:tcW w:w="1072" w:type="dxa"/>
            <w:tcBorders/>
          </w:tcPr>
          <w:p>
            <w:pPr>
              <w:pStyle w:val="NoSpacing"/>
              <w:widowControl/>
              <w:spacing w:before="0" w:after="0"/>
              <w:jc w:val="center"/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1,</w:t>
            </w:r>
            <w:r>
              <w:rPr>
                <w:rFonts w:eastAsia="Calibri" w:cs=""/>
                <w:kern w:val="0"/>
                <w:sz w:val="22"/>
                <w:szCs w:val="22"/>
                <w:lang w:val="sl-SI" w:eastAsia="en-US" w:bidi="ar-SA"/>
              </w:rPr>
              <w:t>06</w:t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ind w:left="720" w:hanging="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l-SI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NoSpacing"/>
    <w:qFormat/>
    <w:rsid w:val="006a213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lineazaodstavkomZnak" w:customStyle="1">
    <w:name w:val="Alinea za odstavkom Znak"/>
    <w:basedOn w:val="DefaultParagraphFont"/>
    <w:link w:val="Alineazaodstavkom"/>
    <w:qFormat/>
    <w:rsid w:val="00db14cb"/>
    <w:rPr>
      <w:rFonts w:ascii="Arial" w:hAnsi="Arial" w:eastAsia="Times New Roman" w:cs="Arial"/>
      <w:lang w:eastAsia="sl-SI"/>
    </w:rPr>
  </w:style>
  <w:style w:type="character" w:styleId="NaslovZnak" w:customStyle="1">
    <w:name w:val="Naslov Znak"/>
    <w:basedOn w:val="DefaultParagraphFont"/>
    <w:uiPriority w:val="10"/>
    <w:qFormat/>
    <w:rsid w:val="00c70d45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imbolizaotevilevanje">
    <w:name w:val="Simboli za oštevilčevanje"/>
    <w:qFormat/>
    <w:rPr/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Lucida 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autoRedefine/>
    <w:uiPriority w:val="1"/>
    <w:qFormat/>
    <w:rsid w:val="006a4171"/>
    <w:pPr>
      <w:widowControl/>
      <w:bidi w:val="0"/>
      <w:spacing w:lineRule="auto" w:line="240" w:before="0" w:after="0"/>
      <w:jc w:val="center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sl-SI" w:eastAsia="en-US" w:bidi="ar-SA"/>
    </w:rPr>
  </w:style>
  <w:style w:type="paragraph" w:styleId="Alineazaodstavkom" w:customStyle="1">
    <w:name w:val="Alinea za odstavkom"/>
    <w:basedOn w:val="Normal"/>
    <w:link w:val="AlineazaodstavkomZnak"/>
    <w:qFormat/>
    <w:rsid w:val="00db14cb"/>
    <w:pPr>
      <w:numPr>
        <w:ilvl w:val="0"/>
        <w:numId w:val="4"/>
      </w:numPr>
      <w:spacing w:lineRule="auto" w:line="240" w:before="0" w:after="0"/>
      <w:jc w:val="both"/>
    </w:pPr>
    <w:rPr>
      <w:rFonts w:ascii="Arial" w:hAnsi="Arial" w:eastAsia="Times New Roman" w:cs="Arial"/>
      <w:lang w:eastAsia="sl-SI"/>
    </w:rPr>
  </w:style>
  <w:style w:type="paragraph" w:styleId="Naslovdokumenta">
    <w:name w:val="Title"/>
    <w:basedOn w:val="Normal"/>
    <w:next w:val="Normal"/>
    <w:link w:val="NaslovZnak"/>
    <w:uiPriority w:val="10"/>
    <w:qFormat/>
    <w:rsid w:val="00c70d45"/>
    <w:pPr>
      <w:pBdr>
        <w:bottom w:val="single" w:sz="8" w:space="4" w:color="4472C4"/>
      </w:pBdr>
      <w:spacing w:lineRule="auto" w:line="240"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mrea">
    <w:name w:val="Table Grid"/>
    <w:basedOn w:val="Navadnatabela"/>
    <w:uiPriority w:val="39"/>
    <w:rsid w:val="00796f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LibreOffice/7.3.4.2$Windows_X86_64 LibreOffice_project/728fec16bd5f605073805c3c9e7c4212a0120dc5</Application>
  <AppVersion>15.0000</AppVersion>
  <Pages>2</Pages>
  <Words>521</Words>
  <Characters>3252</Characters>
  <CharactersWithSpaces>3678</CharactersWithSpaces>
  <Paragraphs>84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2024-04-29T12:01:00Z</dcterms:created>
  <dc:creator>Prenosnik</dc:creator>
  <dc:description/>
  <dc:language>sl-SI</dc:language>
  <cp:lastModifiedBy/>
  <cp:lastPrinted>2021-03-27T15:48:00Z</cp:lastPrinted>
  <dcterms:modified xsi:type="dcterms:W3CDTF">2025-02-20T13:42:28Z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